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R4-2409605</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eastAsia="宋体" w:cs="Arial"/>
          <w:b/>
          <w:sz w:val="24"/>
          <w:szCs w:val="24"/>
          <w:lang w:val="en-US" w:eastAsia="zh-CN"/>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eastAsia="MS Mincho" w:cs="Arial"/>
          <w:b/>
          <w:sz w:val="24"/>
          <w:szCs w:val="24"/>
          <w:lang w:val="en-US" w:eastAsia="zh-CN"/>
        </w:rPr>
        <w:t xml:space="preserve">iscussion on </w:t>
      </w:r>
      <w:r>
        <w:rPr>
          <w:rFonts w:ascii="Arial" w:hAnsi="Arial" w:eastAsia="MS Mincho" w:cs="Arial"/>
          <w:b/>
          <w:sz w:val="24"/>
          <w:szCs w:val="24"/>
          <w:lang w:eastAsia="en-US"/>
        </w:rPr>
        <w:t>OTA test enhancement</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last RAN4 meeting, we have some initial discussions on the necessity of improvement of co-location issues. In this contribution, we would like to share some views on the OTA co-location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pageBreakBefore w:val="0"/>
              <w:widowControl w:val="0"/>
              <w:numPr>
                <w:ilvl w:val="1"/>
                <w:numId w:val="4"/>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eastAsia" w:ascii="Times New Roman" w:hAnsi="Times New Roman" w:eastAsia="宋体" w:cs="Times New Roman"/>
                <w:b/>
                <w:bCs/>
                <w:color w:val="0070C0"/>
                <w:sz w:val="20"/>
                <w:szCs w:val="20"/>
                <w:lang w:val="sv-SE" w:eastAsia="zh-CN"/>
              </w:rPr>
            </w:pPr>
            <w:r>
              <w:rPr>
                <w:rFonts w:hint="eastAsia" w:ascii="Times New Roman" w:hAnsi="Times New Roman" w:eastAsia="宋体" w:cs="Times New Roman"/>
                <w:b/>
                <w:bCs/>
                <w:color w:val="0070C0"/>
                <w:sz w:val="20"/>
                <w:szCs w:val="20"/>
                <w:lang w:val="en-US" w:eastAsia="zh-CN"/>
              </w:rPr>
              <w:t>Issue 3-1: Co-location reference antenna</w:t>
            </w:r>
          </w:p>
          <w:p>
            <w:pPr>
              <w:pStyle w:val="36"/>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59" w:lineRule="auto"/>
              <w:ind w:left="420" w:leftChars="200" w:right="0"/>
              <w:contextualSpacing w:val="0"/>
              <w:textAlignment w:val="auto"/>
              <w:rPr>
                <w:rFonts w:hint="eastAsia" w:ascii="Times New Roman" w:hAnsi="Times New Roman" w:eastAsia="宋体" w:cs="Times New Roman"/>
                <w:b/>
                <w:bCs/>
                <w:color w:val="0070C0"/>
                <w:sz w:val="20"/>
                <w:szCs w:val="20"/>
                <w:lang w:val="sv-SE" w:eastAsia="zh-CN"/>
              </w:rPr>
            </w:pPr>
            <w:r>
              <w:rPr>
                <w:rFonts w:hint="eastAsia" w:ascii="Times New Roman" w:hAnsi="Times New Roman" w:eastAsia="宋体" w:cs="Times New Roman"/>
                <w:color w:val="0070C0"/>
                <w:kern w:val="2"/>
                <w:sz w:val="20"/>
                <w:szCs w:val="20"/>
                <w:lang w:val="en-US" w:eastAsia="zh-CN" w:bidi="ar-SA"/>
              </w:rPr>
              <w:t>Agreement</w:t>
            </w:r>
            <w:r>
              <w:rPr>
                <w:rFonts w:hint="eastAsia" w:ascii="Times New Roman" w:hAnsi="Times New Roman" w:cs="Times New Roman"/>
                <w:b/>
                <w:bCs/>
                <w:color w:val="0070C0"/>
                <w:sz w:val="20"/>
                <w:szCs w:val="20"/>
                <w:lang w:val="en-US" w:eastAsia="zh-CN"/>
              </w:rPr>
              <w:t>:</w:t>
            </w:r>
          </w:p>
          <w:p>
            <w:pPr>
              <w:pStyle w:val="36"/>
              <w:keepNext w:val="0"/>
              <w:keepLines w:val="0"/>
              <w:numPr>
                <w:ilvl w:val="1"/>
                <w:numId w:val="4"/>
              </w:numPr>
              <w:suppressLineNumbers w:val="0"/>
              <w:spacing w:before="0" w:beforeAutospacing="0" w:after="120" w:afterAutospacing="0" w:line="259" w:lineRule="auto"/>
              <w:ind w:left="1440" w:right="0"/>
              <w:contextualSpacing w:val="0"/>
              <w:rPr>
                <w:rFonts w:hint="default"/>
                <w:lang w:val="en-US" w:eastAsia="zh-CN"/>
              </w:rPr>
            </w:pPr>
            <w:r>
              <w:rPr>
                <w:rFonts w:hint="eastAsia" w:eastAsia="宋体"/>
                <w:color w:val="0070C0"/>
                <w:lang w:val="en-US" w:eastAsia="zh-CN"/>
              </w:rPr>
              <w:t xml:space="preserve">Step 1: </w:t>
            </w:r>
            <w:r>
              <w:rPr>
                <w:rFonts w:hint="eastAsia"/>
                <w:color w:val="0070C0"/>
                <w:lang w:val="en-US" w:eastAsia="zh-CN"/>
              </w:rPr>
              <w:t>further investigate</w:t>
            </w:r>
            <w:r>
              <w:rPr>
                <w:rFonts w:hint="eastAsia" w:eastAsia="宋体"/>
                <w:color w:val="0070C0"/>
                <w:lang w:val="en-US" w:eastAsia="zh-CN"/>
              </w:rPr>
              <w:t xml:space="preserve"> </w:t>
            </w:r>
            <w:r>
              <w:rPr>
                <w:rFonts w:hint="eastAsia"/>
                <w:color w:val="0070C0"/>
                <w:lang w:val="en-US" w:eastAsia="zh-CN"/>
              </w:rPr>
              <w:t>the improvement of t</w:t>
            </w:r>
            <w:r>
              <w:rPr>
                <w:rFonts w:hint="eastAsia" w:eastAsia="宋体"/>
                <w:color w:val="0070C0"/>
                <w:lang w:val="en-US" w:eastAsia="zh-CN"/>
              </w:rPr>
              <w:t>he co-location reference antenna</w:t>
            </w:r>
            <w:r>
              <w:rPr>
                <w:rFonts w:hint="eastAsia"/>
                <w:color w:val="0070C0"/>
                <w:lang w:val="en-US" w:eastAsia="zh-CN"/>
              </w:rPr>
              <w:t xml:space="preserve"> if necessary;</w:t>
            </w:r>
            <w:r>
              <w:rPr>
                <w:rFonts w:hint="eastAsia" w:eastAsia="宋体"/>
                <w:color w:val="0070C0"/>
                <w:lang w:val="en-US" w:eastAsia="zh-CN"/>
              </w:rPr>
              <w:t xml:space="preserve"> </w:t>
            </w:r>
          </w:p>
          <w:p>
            <w:pPr>
              <w:pStyle w:val="36"/>
              <w:keepNext w:val="0"/>
              <w:keepLines w:val="0"/>
              <w:numPr>
                <w:ilvl w:val="1"/>
                <w:numId w:val="4"/>
              </w:numPr>
              <w:suppressLineNumbers w:val="0"/>
              <w:spacing w:before="0" w:beforeAutospacing="0" w:after="120" w:afterAutospacing="0" w:line="259" w:lineRule="auto"/>
              <w:ind w:left="1440" w:right="0"/>
              <w:contextualSpacing w:val="0"/>
              <w:rPr>
                <w:rFonts w:hint="default"/>
                <w:lang w:val="en-US" w:eastAsia="zh-CN"/>
              </w:rPr>
            </w:pPr>
            <w:r>
              <w:rPr>
                <w:rFonts w:hint="eastAsia" w:eastAsia="宋体"/>
                <w:color w:val="0070C0"/>
                <w:lang w:val="en-US" w:eastAsia="zh-CN"/>
              </w:rPr>
              <w:t xml:space="preserve">Step 2: If this is agreeable, then further </w:t>
            </w:r>
            <w:r>
              <w:rPr>
                <w:rFonts w:hint="eastAsia"/>
                <w:color w:val="0070C0"/>
                <w:lang w:val="en-US" w:eastAsia="zh-CN"/>
              </w:rPr>
              <w:t>discuss</w:t>
            </w:r>
            <w:r>
              <w:rPr>
                <w:rFonts w:hint="eastAsia" w:eastAsia="宋体"/>
                <w:color w:val="0070C0"/>
                <w:lang w:val="en-US" w:eastAsia="zh-CN"/>
              </w:rPr>
              <w:t xml:space="preserve"> e.g. the relevant scenarios,  applicable antenna types or define requirements on OTA parameters such as field-strength or power density</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pStyle w:val="57"/>
        <w:tabs>
          <w:tab w:val="left" w:pos="567"/>
          <w:tab w:val="clear" w:pos="1985"/>
        </w:tabs>
        <w:adjustRightInd w:val="0"/>
        <w:ind w:left="510" w:hanging="510"/>
        <w:rPr>
          <w:rFonts w:eastAsia="Times New Roman"/>
        </w:rPr>
      </w:pPr>
      <w:bookmarkStart w:id="1" w:name="OLE_LINK10"/>
      <w:bookmarkStart w:id="2" w:name="OLE_LINK13"/>
      <w:bookmarkStart w:id="3" w:name="OLE_LINK14"/>
      <w:bookmarkStart w:id="4" w:name="OLE_LINK20"/>
      <w:r>
        <w:rPr>
          <w:rFonts w:hint="eastAsia"/>
          <w:lang w:val="en-US" w:eastAsia="zh-CN"/>
        </w:rPr>
        <w:t>Discussion</w:t>
      </w:r>
      <w:r>
        <w:rPr>
          <w:rFonts w:hint="eastAsia" w:eastAsia="Times New Roman"/>
        </w:rPr>
        <w:t xml:space="preserve"> </w:t>
      </w:r>
    </w:p>
    <w:p>
      <w:pPr>
        <w:keepNext w:val="0"/>
        <w:keepLines w:val="0"/>
        <w:widowControl/>
        <w:suppressLineNumbers w:val="0"/>
        <w:jc w:val="left"/>
        <w:rPr>
          <w:rFonts w:hint="eastAsia"/>
          <w:lang w:val="en-US" w:eastAsia="zh-CN"/>
        </w:rPr>
      </w:pPr>
      <w:r>
        <w:rPr>
          <w:rFonts w:hint="eastAsia"/>
          <w:lang w:val="en-US" w:eastAsia="zh-CN"/>
        </w:rPr>
        <w:t xml:space="preserve">Co-location test antenna is specified in clause 4.12.2.2 and 4.12.2.3 in TS 38.141-2 based on the 30dBc MCL inherited from 3G phase under the assumption that two passive antennas with some mechanical downtilt towards the ground and deployed in the same location as shown in the following way. </w:t>
      </w:r>
    </w:p>
    <w:p>
      <w:pPr>
        <w:keepNext w:val="0"/>
        <w:keepLines w:val="0"/>
        <w:widowControl/>
        <w:suppressLineNumbers w:val="0"/>
        <w:jc w:val="center"/>
        <w:rPr>
          <w:rFonts w:hint="default"/>
          <w:lang w:val="en-US" w:eastAsia="zh-CN"/>
        </w:rPr>
      </w:pPr>
      <w:r>
        <w:rPr>
          <w:rFonts w:hint="default"/>
          <w:lang w:val="en-US" w:eastAsia="zh-CN"/>
        </w:rPr>
        <w:object>
          <v:shape id="_x0000_i1025" o:spt="75" type="#_x0000_t75" style="height:111.1pt;width:359.9pt;" o:ole="t" filled="f" o:preferrelative="t" stroked="f" coordsize="21600,21600">
            <v:path/>
            <v:fill on="f" focussize="0,0"/>
            <v:stroke on="f"/>
            <v:imagedata r:id="rId8" o:title=""/>
            <o:lock v:ext="edit" aspectratio="f"/>
            <w10:wrap type="none"/>
            <w10:anchorlock/>
          </v:shape>
          <o:OLEObject Type="Embed" ProgID="Word.Document.8" ShapeID="_x0000_i1025" DrawAspect="Content" ObjectID="_1468075725" r:id="rId7">
            <o:LockedField>false</o:LockedField>
          </o:OLEObject>
        </w:object>
      </w:r>
    </w:p>
    <w:p>
      <w:pPr>
        <w:rPr>
          <w:lang w:val="en-US" w:eastAsia="zh-CN"/>
        </w:rPr>
      </w:pPr>
      <w:r>
        <w:rPr>
          <w:rFonts w:hint="eastAsia"/>
          <w:lang w:val="en-US" w:eastAsia="zh-CN"/>
        </w:rPr>
        <w:t>In Rel-15 NR, it was agreed to assume</w:t>
      </w:r>
      <w:r>
        <w:rPr>
          <w:i/>
          <w:lang w:val="en-US" w:eastAsia="zh-CN"/>
        </w:rPr>
        <w:t xml:space="preserve"> co-location test antenna</w:t>
      </w:r>
      <w:r>
        <w:rPr>
          <w:lang w:val="en-US" w:eastAsia="zh-CN"/>
        </w:rPr>
        <w:t xml:space="preserve"> </w:t>
      </w:r>
      <w:r>
        <w:rPr>
          <w:rFonts w:hint="eastAsia"/>
          <w:lang w:val="en-US" w:eastAsia="zh-CN"/>
        </w:rPr>
        <w:t xml:space="preserve">as </w:t>
      </w:r>
      <w:r>
        <w:rPr>
          <w:lang w:val="en-US" w:eastAsia="zh-CN"/>
        </w:rPr>
        <w:t xml:space="preserve">a practical passive antenna used for conformance testing of the co-location requirements and </w:t>
      </w:r>
      <w:r>
        <w:rPr>
          <w:rFonts w:hint="eastAsia"/>
          <w:lang w:val="en-US" w:eastAsia="zh-CN"/>
        </w:rPr>
        <w:t>it</w:t>
      </w:r>
      <w:r>
        <w:rPr>
          <w:rFonts w:hint="default"/>
          <w:lang w:val="en-US" w:eastAsia="zh-CN"/>
        </w:rPr>
        <w:t>’</w:t>
      </w:r>
      <w:r>
        <w:rPr>
          <w:rFonts w:hint="eastAsia"/>
          <w:lang w:val="en-US" w:eastAsia="zh-CN"/>
        </w:rPr>
        <w:t xml:space="preserve">s </w:t>
      </w:r>
      <w:r>
        <w:rPr>
          <w:lang w:val="en-US" w:eastAsia="zh-CN"/>
        </w:rPr>
        <w:t xml:space="preserve">based on the definition of the </w:t>
      </w:r>
      <w:r>
        <w:rPr>
          <w:i/>
          <w:lang w:val="en-US" w:eastAsia="zh-CN"/>
        </w:rPr>
        <w:t>co-location reference antenna</w:t>
      </w:r>
      <w:r>
        <w:rPr>
          <w:lang w:val="en-US" w:eastAsia="zh-CN"/>
        </w:rPr>
        <w:t>. A CLTA shall comply with the requirements specified in table 4.12.2.2-1.</w:t>
      </w:r>
    </w:p>
    <w:p>
      <w:pPr>
        <w:pStyle w:val="47"/>
        <w:rPr>
          <w:rFonts w:hint="default" w:eastAsia="宋体"/>
          <w:color w:val="0000FF"/>
          <w:lang w:val="en-US" w:eastAsia="zh-CN"/>
        </w:rPr>
      </w:pPr>
      <w:r>
        <w:rPr>
          <w:color w:val="0000FF"/>
        </w:rPr>
        <w:t>Table 4.12.2.2-1: CLTA characteristics</w:t>
      </w:r>
      <w:r>
        <w:rPr>
          <w:rFonts w:hint="eastAsia"/>
          <w:color w:val="0000FF"/>
          <w:lang w:val="en-US" w:eastAsia="zh-CN"/>
        </w:rPr>
        <w:t xml:space="preserve"> [TS 38.141-2]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383"/>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86" w:type="dxa"/>
            <w:noWrap/>
          </w:tcPr>
          <w:p>
            <w:pPr>
              <w:pStyle w:val="37"/>
              <w:suppressLineNumbers w:val="0"/>
              <w:spacing w:before="0" w:beforeAutospacing="0" w:afterAutospacing="0"/>
              <w:ind w:left="0" w:right="0"/>
              <w:rPr>
                <w:rFonts w:hint="default"/>
              </w:rPr>
            </w:pPr>
            <w:r>
              <w:rPr>
                <w:rFonts w:hint="default"/>
              </w:rPr>
              <w:t>Parameter</w:t>
            </w:r>
          </w:p>
        </w:tc>
        <w:tc>
          <w:tcPr>
            <w:tcW w:w="2383" w:type="dxa"/>
            <w:noWrap/>
          </w:tcPr>
          <w:p>
            <w:pPr>
              <w:pStyle w:val="37"/>
              <w:suppressLineNumbers w:val="0"/>
              <w:spacing w:before="0" w:beforeAutospacing="0" w:afterAutospacing="0"/>
              <w:ind w:left="0" w:right="0"/>
              <w:rPr>
                <w:rFonts w:hint="default"/>
              </w:rPr>
            </w:pPr>
            <w:r>
              <w:rPr>
                <w:rFonts w:hint="default"/>
              </w:rPr>
              <w:t>In-band CLTA</w:t>
            </w:r>
          </w:p>
        </w:tc>
        <w:tc>
          <w:tcPr>
            <w:tcW w:w="2861" w:type="dxa"/>
            <w:noWrap/>
          </w:tcPr>
          <w:p>
            <w:pPr>
              <w:pStyle w:val="37"/>
              <w:suppressLineNumbers w:val="0"/>
              <w:spacing w:before="0" w:beforeAutospacing="0" w:afterAutospacing="0"/>
              <w:ind w:left="0" w:right="0"/>
              <w:rPr>
                <w:rFonts w:hint="default"/>
              </w:rPr>
            </w:pPr>
            <w:r>
              <w:rPr>
                <w:rFonts w:hint="default"/>
              </w:rPr>
              <w:t>Out-of-band CLTAs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Vertical radiating dimension (h)</w:t>
            </w:r>
          </w:p>
        </w:tc>
        <w:tc>
          <w:tcPr>
            <w:tcW w:w="2383" w:type="dxa"/>
            <w:noWrap/>
          </w:tcPr>
          <w:p>
            <w:pPr>
              <w:pStyle w:val="38"/>
              <w:suppressLineNumbers w:val="0"/>
              <w:spacing w:before="0" w:beforeAutospacing="0" w:afterAutospacing="0"/>
              <w:ind w:left="0" w:right="0"/>
              <w:rPr>
                <w:rFonts w:hint="default"/>
              </w:rPr>
            </w:pPr>
            <w:r>
              <w:rPr>
                <w:rFonts w:hint="default"/>
              </w:rPr>
              <w:t>Test object vertical radiating length ±30%</w:t>
            </w:r>
          </w:p>
        </w:tc>
        <w:tc>
          <w:tcPr>
            <w:tcW w:w="2861" w:type="dxa"/>
            <w:noWrap/>
          </w:tcPr>
          <w:p>
            <w:pPr>
              <w:pStyle w:val="38"/>
              <w:suppressLineNumbers w:val="0"/>
              <w:spacing w:before="0" w:beforeAutospacing="0" w:afterAutospacing="0"/>
              <w:ind w:left="0" w:right="0"/>
              <w:rPr>
                <w:rFonts w:hint="default"/>
              </w:rPr>
            </w:pPr>
            <w:r>
              <w:rPr>
                <w:rFonts w:hint="default"/>
              </w:rPr>
              <w:t>Test object vertical radiating length ±30%</w:t>
            </w:r>
          </w:p>
          <w:p>
            <w:pPr>
              <w:pStyle w:val="38"/>
              <w:suppressLineNumbers w:val="0"/>
              <w:spacing w:before="0" w:beforeAutospacing="0" w:afterAutospacing="0"/>
              <w:ind w:left="0" w:right="0"/>
              <w:rPr>
                <w:rFonts w:hint="default"/>
              </w:rPr>
            </w:pPr>
            <w:r>
              <w:rPr>
                <w:rFonts w:hint="default"/>
              </w:rPr>
              <w:t xml:space="preserve">(Note </w:t>
            </w:r>
            <w:r>
              <w:rPr>
                <w:rFonts w:hint="eastAsia"/>
                <w:lang w:eastAsia="zh-CN"/>
              </w:rPr>
              <w:t>2</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Horizontal beam width</w:t>
            </w:r>
          </w:p>
        </w:tc>
        <w:tc>
          <w:tcPr>
            <w:tcW w:w="2383" w:type="dxa"/>
            <w:noWrap/>
          </w:tcPr>
          <w:p>
            <w:pPr>
              <w:pStyle w:val="38"/>
              <w:suppressLineNumbers w:val="0"/>
              <w:spacing w:before="0" w:beforeAutospacing="0" w:afterAutospacing="0"/>
              <w:ind w:left="0" w:right="0"/>
              <w:rPr>
                <w:rFonts w:hint="default"/>
              </w:rPr>
            </w:pPr>
            <w:r>
              <w:rPr>
                <w:rFonts w:hint="default"/>
              </w:rPr>
              <w:t>65° ± 10°</w:t>
            </w:r>
          </w:p>
        </w:tc>
        <w:tc>
          <w:tcPr>
            <w:tcW w:w="2861" w:type="dxa"/>
            <w:noWrap/>
          </w:tcPr>
          <w:p>
            <w:pPr>
              <w:pStyle w:val="38"/>
              <w:suppressLineNumbers w:val="0"/>
              <w:spacing w:before="0" w:beforeAutospacing="0" w:afterAutospacing="0"/>
              <w:ind w:left="0" w:right="0"/>
              <w:rPr>
                <w:rFonts w:hint="default"/>
              </w:rPr>
            </w:pPr>
            <w:r>
              <w:rPr>
                <w:rFonts w:hint="default"/>
              </w:rPr>
              <w:t>65° ±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Vertical beam width</w:t>
            </w:r>
          </w:p>
        </w:tc>
        <w:tc>
          <w:tcPr>
            <w:tcW w:w="2383" w:type="dxa"/>
            <w:noWrap/>
          </w:tcPr>
          <w:p>
            <w:pPr>
              <w:pStyle w:val="38"/>
              <w:suppressLineNumbers w:val="0"/>
              <w:spacing w:before="0" w:beforeAutospacing="0" w:afterAutospacing="0"/>
              <w:ind w:left="0" w:right="0"/>
              <w:rPr>
                <w:rFonts w:hint="default"/>
              </w:rPr>
            </w:pPr>
            <w:r>
              <w:rPr>
                <w:rFonts w:hint="default"/>
              </w:rPr>
              <w:t>N/A</w:t>
            </w:r>
          </w:p>
        </w:tc>
        <w:tc>
          <w:tcPr>
            <w:tcW w:w="2861" w:type="dxa"/>
            <w:noWrap/>
          </w:tcPr>
          <w:p>
            <w:pPr>
              <w:pStyle w:val="38"/>
              <w:suppressLineNumbers w:val="0"/>
              <w:spacing w:before="0" w:beforeAutospacing="0" w:afterAutospacing="0"/>
              <w:ind w:left="0" w:right="0"/>
              <w:rPr>
                <w:rFonts w:hint="default"/>
              </w:rPr>
            </w:pPr>
            <w:r>
              <w:rPr>
                <w:rFonts w:hint="default"/>
              </w:rPr>
              <w:t xml:space="preserve">The half-power vertical beam width of </w:t>
            </w:r>
            <w:r>
              <w:rPr>
                <w:rFonts w:hint="default"/>
                <w:color w:val="0000FF"/>
              </w:rPr>
              <w:t>the CLTA equals the narrowest declared (D.3) vertical beamwidth ±3°</w:t>
            </w:r>
          </w:p>
          <w:p>
            <w:pPr>
              <w:pStyle w:val="38"/>
              <w:suppressLineNumbers w:val="0"/>
              <w:spacing w:before="0" w:beforeAutospacing="0" w:afterAutospacing="0"/>
              <w:ind w:left="0" w:right="0"/>
              <w:rPr>
                <w:rFonts w:hint="default"/>
              </w:rPr>
            </w:pPr>
            <w:r>
              <w:rPr>
                <w:rFonts w:hint="default"/>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Borders>
              <w:top w:val="single" w:color="auto" w:sz="4" w:space="0"/>
              <w:left w:val="single" w:color="auto" w:sz="4" w:space="0"/>
              <w:bottom w:val="single" w:color="auto" w:sz="4" w:space="0"/>
              <w:right w:val="single" w:color="auto" w:sz="4" w:space="0"/>
            </w:tcBorders>
            <w:noWrap/>
          </w:tcPr>
          <w:p>
            <w:pPr>
              <w:pStyle w:val="39"/>
              <w:suppressLineNumbers w:val="0"/>
              <w:spacing w:before="0" w:beforeAutospacing="0" w:afterAutospacing="0"/>
              <w:ind w:left="0" w:right="0"/>
              <w:rPr>
                <w:rFonts w:hint="default"/>
              </w:rPr>
            </w:pPr>
            <w:r>
              <w:rPr>
                <w:rFonts w:hint="default" w:eastAsia="Malgun Gothic"/>
              </w:rPr>
              <w:t>Polarization</w:t>
            </w:r>
            <w:r>
              <w:rPr>
                <w:rFonts w:hint="default"/>
              </w:rPr>
              <w:t xml:space="preserve"> (Note 3)</w:t>
            </w:r>
          </w:p>
        </w:tc>
        <w:tc>
          <w:tcPr>
            <w:tcW w:w="2383" w:type="dxa"/>
            <w:tcBorders>
              <w:top w:val="single" w:color="auto" w:sz="4" w:space="0"/>
              <w:left w:val="single" w:color="auto" w:sz="4" w:space="0"/>
              <w:bottom w:val="single" w:color="auto" w:sz="4" w:space="0"/>
              <w:right w:val="single" w:color="auto" w:sz="4" w:space="0"/>
            </w:tcBorders>
            <w:noWrap/>
          </w:tcPr>
          <w:p>
            <w:pPr>
              <w:pStyle w:val="38"/>
              <w:suppressLineNumbers w:val="0"/>
              <w:spacing w:before="0" w:beforeAutospacing="0" w:afterAutospacing="0"/>
              <w:ind w:left="0" w:right="0"/>
              <w:rPr>
                <w:rFonts w:hint="default"/>
              </w:rPr>
            </w:pPr>
            <w:r>
              <w:rPr>
                <w:rFonts w:hint="default" w:eastAsia="Malgun Gothic"/>
              </w:rPr>
              <w:t>Match</w:t>
            </w:r>
            <w:r>
              <w:rPr>
                <w:rFonts w:hint="default"/>
              </w:rPr>
              <w:t xml:space="preserve"> (Note4)</w:t>
            </w:r>
          </w:p>
        </w:tc>
        <w:tc>
          <w:tcPr>
            <w:tcW w:w="2861" w:type="dxa"/>
            <w:tcBorders>
              <w:top w:val="single" w:color="auto" w:sz="4" w:space="0"/>
              <w:left w:val="single" w:color="auto" w:sz="4" w:space="0"/>
              <w:bottom w:val="single" w:color="auto" w:sz="4" w:space="0"/>
              <w:right w:val="single" w:color="auto" w:sz="4" w:space="0"/>
            </w:tcBorders>
            <w:noWrap/>
          </w:tcPr>
          <w:p>
            <w:pPr>
              <w:pStyle w:val="38"/>
              <w:suppressLineNumbers w:val="0"/>
              <w:spacing w:before="0" w:beforeAutospacing="0" w:afterAutospacing="0"/>
              <w:ind w:left="0" w:right="0"/>
              <w:rPr>
                <w:rFonts w:hint="default"/>
              </w:rPr>
            </w:pPr>
            <w:r>
              <w:rPr>
                <w:rFonts w:hint="default" w:eastAsia="Malgun Gothic"/>
              </w:rPr>
              <w:t>Match to in-band</w:t>
            </w:r>
            <w:r>
              <w:rPr>
                <w:rFonts w:hint="defaul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Conducted interface return loss</w:t>
            </w:r>
          </w:p>
        </w:tc>
        <w:tc>
          <w:tcPr>
            <w:tcW w:w="2383" w:type="dxa"/>
            <w:noWrap/>
          </w:tcPr>
          <w:p>
            <w:pPr>
              <w:pStyle w:val="38"/>
              <w:suppressLineNumbers w:val="0"/>
              <w:spacing w:before="0" w:beforeAutospacing="0" w:afterAutospacing="0"/>
              <w:ind w:left="0" w:right="0"/>
              <w:rPr>
                <w:rFonts w:hint="default"/>
              </w:rPr>
            </w:pPr>
            <w:r>
              <w:rPr>
                <w:rFonts w:hint="default"/>
              </w:rPr>
              <w:t>&gt; 10 dB</w:t>
            </w:r>
          </w:p>
        </w:tc>
        <w:tc>
          <w:tcPr>
            <w:tcW w:w="2861" w:type="dxa"/>
            <w:noWrap/>
          </w:tcPr>
          <w:p>
            <w:pPr>
              <w:pStyle w:val="38"/>
              <w:suppressLineNumbers w:val="0"/>
              <w:spacing w:before="0" w:beforeAutospacing="0" w:afterAutospacing="0"/>
              <w:ind w:left="0" w:right="0"/>
              <w:rPr>
                <w:rFonts w:hint="default"/>
              </w:rPr>
            </w:pPr>
            <w:r>
              <w:rPr>
                <w:rFonts w:hint="default"/>
              </w:rPr>
              <w:t>&gt; 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30" w:type="dxa"/>
            <w:gridSpan w:val="3"/>
            <w:noWrap/>
          </w:tcPr>
          <w:p>
            <w:pPr>
              <w:pStyle w:val="50"/>
              <w:suppressLineNumbers w:val="0"/>
              <w:spacing w:before="0" w:beforeAutospacing="0" w:afterAutospacing="0"/>
              <w:ind w:right="0"/>
              <w:rPr>
                <w:rFonts w:hint="default"/>
              </w:rPr>
            </w:pPr>
            <w:r>
              <w:rPr>
                <w:rFonts w:hint="default"/>
              </w:rPr>
              <w:t>NOTE 1:</w:t>
            </w:r>
            <w:r>
              <w:rPr>
                <w:rFonts w:hint="default" w:cs="Arial"/>
                <w:szCs w:val="18"/>
              </w:rPr>
              <w:tab/>
            </w:r>
            <w:r>
              <w:rPr>
                <w:rFonts w:hint="default"/>
              </w:rPr>
              <w:t>If a multi-column or multi-band antenna is used the column closest to the NR BS shall be selected while other columns are terminated during testing.</w:t>
            </w:r>
          </w:p>
          <w:p>
            <w:pPr>
              <w:pStyle w:val="50"/>
              <w:suppressLineNumbers w:val="0"/>
              <w:spacing w:before="0" w:beforeAutospacing="0" w:afterAutospacing="0"/>
              <w:ind w:right="0"/>
              <w:rPr>
                <w:rFonts w:hint="default"/>
              </w:rPr>
            </w:pPr>
            <w:r>
              <w:rPr>
                <w:rFonts w:hint="default" w:eastAsia="Malgun Gothic"/>
                <w:lang w:eastAsia="en-US"/>
              </w:rPr>
              <w:t>N</w:t>
            </w:r>
            <w:r>
              <w:rPr>
                <w:rFonts w:hint="default" w:eastAsia="Malgun Gothic"/>
              </w:rPr>
              <w:t xml:space="preserve">OTE </w:t>
            </w:r>
            <w:r>
              <w:rPr>
                <w:rFonts w:hint="eastAsia"/>
                <w:lang w:eastAsia="zh-CN"/>
              </w:rPr>
              <w:t>2</w:t>
            </w:r>
            <w:r>
              <w:rPr>
                <w:rFonts w:hint="default" w:eastAsia="Malgun Gothic"/>
                <w:lang w:eastAsia="en-US"/>
              </w:rPr>
              <w:t>:</w:t>
            </w:r>
            <w:r>
              <w:rPr>
                <w:rFonts w:hint="default"/>
              </w:rPr>
              <w:tab/>
            </w:r>
            <w:r>
              <w:rPr>
                <w:rFonts w:hint="default"/>
              </w:rPr>
              <w:t xml:space="preserve">The vertical radiating dimension definition </w:t>
            </w:r>
            <w:r>
              <w:rPr>
                <w:rFonts w:hint="eastAsia"/>
                <w:lang w:eastAsia="zh-CN"/>
              </w:rPr>
              <w:t>shall be used</w:t>
            </w:r>
            <w:r>
              <w:rPr>
                <w:rFonts w:hint="default"/>
              </w:rPr>
              <w:t xml:space="preserve"> instead of the vertical beam width definition when the test chamber dimensions limit the use of vertical beam width definition. Otherwise the vertical beam width definition shall be used.</w:t>
            </w:r>
          </w:p>
          <w:p>
            <w:pPr>
              <w:pStyle w:val="50"/>
              <w:suppressLineNumbers w:val="0"/>
              <w:spacing w:before="0" w:beforeAutospacing="0" w:afterAutospacing="0"/>
              <w:ind w:right="0"/>
              <w:rPr>
                <w:rFonts w:hint="default"/>
              </w:rPr>
            </w:pPr>
            <w:r>
              <w:rPr>
                <w:rFonts w:hint="default"/>
              </w:rPr>
              <w:t>NOTE 3:</w:t>
            </w:r>
            <w:r>
              <w:rPr>
                <w:rFonts w:hint="default" w:cs="Arial"/>
                <w:szCs w:val="18"/>
              </w:rPr>
              <w:tab/>
            </w:r>
            <w:r>
              <w:rPr>
                <w:rFonts w:hint="default"/>
              </w:rPr>
              <w:t xml:space="preserve">For </w:t>
            </w:r>
            <w:r>
              <w:rPr>
                <w:rFonts w:hint="default"/>
                <w:i/>
              </w:rPr>
              <w:t>BS type 1-O</w:t>
            </w:r>
            <w:r>
              <w:rPr>
                <w:rFonts w:hint="default"/>
              </w:rPr>
              <w:t xml:space="preserve"> with dual polarization the CLTA has two conducted interfaces each representing one polarization.</w:t>
            </w:r>
          </w:p>
          <w:p>
            <w:pPr>
              <w:pStyle w:val="50"/>
              <w:suppressLineNumbers w:val="0"/>
              <w:spacing w:before="0" w:beforeAutospacing="0" w:afterAutospacing="0"/>
              <w:ind w:right="0"/>
              <w:rPr>
                <w:rFonts w:hint="default" w:ascii="Calibri" w:hAnsi="Calibri"/>
                <w:sz w:val="22"/>
                <w:szCs w:val="22"/>
              </w:rPr>
            </w:pPr>
            <w:r>
              <w:rPr>
                <w:rFonts w:hint="default"/>
              </w:rPr>
              <w:t>NOTE 4:</w:t>
            </w:r>
            <w:r>
              <w:rPr>
                <w:rFonts w:hint="default" w:cs="Arial"/>
                <w:szCs w:val="18"/>
              </w:rPr>
              <w:tab/>
            </w:r>
            <w:r>
              <w:rPr>
                <w:rFonts w:hint="default"/>
              </w:rPr>
              <w:t>Matched to the polarization of EUT antenna.</w:t>
            </w:r>
          </w:p>
        </w:tc>
      </w:tr>
    </w:tbl>
    <w:p>
      <w:pPr>
        <w:rPr>
          <w:rFonts w:hint="default"/>
          <w:lang w:val="en-US" w:eastAsia="zh-CN"/>
        </w:rPr>
      </w:pPr>
      <w:r>
        <w:rPr>
          <w:rFonts w:hint="eastAsia"/>
          <w:lang w:val="en-US" w:eastAsia="zh-CN"/>
        </w:rPr>
        <w:t xml:space="preserve">However as clarified in contribution [2], the co-location between two AAS BS in high frequency ranges should be relevant e.g. band n41, n77, n78, n79 and n104 where massive AAS BS instead of BS with legacy RRU+passive antenna are deployed. From performance verification perspective in FR1 high bands, it should be better to check the performance degradation at AAS TAB connectors instead of at antenna connectors for legacy BS due to the change of BS architecture in FR1 high bands. </w:t>
      </w:r>
    </w:p>
    <w:p>
      <w:pPr>
        <w:rPr>
          <w:rFonts w:hint="eastAsia"/>
          <w:lang w:val="en-US" w:eastAsia="zh-CN"/>
        </w:rPr>
      </w:pPr>
      <w:r>
        <w:rPr>
          <w:rFonts w:hint="eastAsia"/>
          <w:b/>
          <w:bCs/>
          <w:lang w:val="en-US" w:eastAsia="zh-CN"/>
        </w:rPr>
        <w:t>Observation 1:</w:t>
      </w:r>
      <w:r>
        <w:rPr>
          <w:rFonts w:hint="eastAsia"/>
          <w:lang w:val="en-US" w:eastAsia="zh-CN"/>
        </w:rPr>
        <w:t xml:space="preserve"> at least in FR1 high bands e.g. band 41, n77, n78, n79 and n104, co-location between two AAS BS should be more relevant scenario. </w:t>
      </w:r>
    </w:p>
    <w:p>
      <w:pPr>
        <w:rPr>
          <w:rFonts w:hint="eastAsia"/>
          <w:lang w:val="en-US" w:eastAsia="zh-CN"/>
        </w:rPr>
      </w:pPr>
      <w:r>
        <w:rPr>
          <w:rFonts w:hint="eastAsia"/>
          <w:lang w:val="en-US" w:eastAsia="zh-CN"/>
        </w:rPr>
        <w:t xml:space="preserve">Additionally, based on port to port isolation results in [4], it seems that for other higher bands, co-location coupling loss will be increased compared with 30dB MCL assumption. </w:t>
      </w:r>
    </w:p>
    <w:p>
      <w:pPr>
        <w:rPr>
          <w:rFonts w:hint="default"/>
          <w:lang w:val="en-US" w:eastAsia="zh-CN"/>
        </w:rPr>
      </w:pPr>
      <w:r>
        <w:rPr>
          <w:rFonts w:hint="eastAsia"/>
          <w:b/>
          <w:bCs/>
          <w:lang w:val="en-US" w:eastAsia="zh-CN"/>
        </w:rPr>
        <w:t>Observation 2</w:t>
      </w:r>
      <w:r>
        <w:rPr>
          <w:rFonts w:hint="eastAsia"/>
          <w:lang w:val="en-US" w:eastAsia="zh-CN"/>
        </w:rPr>
        <w:t xml:space="preserve">: for 2.5-6GHz, Antenna port to port isolation would be increased compared with MCL 30dB. </w:t>
      </w:r>
    </w:p>
    <w:p>
      <w:pPr>
        <w:keepNext/>
        <w:keepLines/>
        <w:widowControl/>
        <w:suppressLineNumbers w:val="0"/>
        <w:overflowPunct w:val="0"/>
        <w:autoSpaceDE w:val="0"/>
        <w:autoSpaceDN w:val="0"/>
        <w:adjustRightInd w:val="0"/>
        <w:spacing w:before="60" w:beforeAutospacing="0" w:after="180" w:afterAutospacing="0"/>
        <w:ind w:left="0" w:right="0"/>
        <w:jc w:val="center"/>
        <w:rPr>
          <w:rFonts w:hint="default" w:ascii="Arial" w:hAnsi="Arial" w:cs="Arial"/>
          <w:b/>
          <w:bCs w:val="0"/>
          <w:lang w:val="en-US" w:eastAsia="zh-CN"/>
        </w:rPr>
      </w:pPr>
      <w:r>
        <w:rPr>
          <w:rFonts w:hint="default" w:ascii="Arial" w:hAnsi="Arial" w:eastAsia="Times New Roman" w:cs="Arial"/>
          <w:b/>
          <w:bCs w:val="0"/>
          <w:kern w:val="0"/>
          <w:sz w:val="20"/>
          <w:szCs w:val="20"/>
          <w:lang w:eastAsia="zh-CN" w:bidi="ar"/>
        </w:rPr>
        <w:t xml:space="preserve">Table </w:t>
      </w:r>
      <w:r>
        <w:rPr>
          <w:rFonts w:hint="default" w:ascii="Arial" w:hAnsi="Arial" w:eastAsia="Times New Roman" w:cs="Arial"/>
          <w:b/>
          <w:bCs w:val="0"/>
          <w:kern w:val="0"/>
          <w:sz w:val="20"/>
          <w:szCs w:val="20"/>
          <w:lang w:val="en-US" w:eastAsia="zh-CN" w:bidi="ar"/>
        </w:rPr>
        <w:t>2.1</w:t>
      </w:r>
      <w:r>
        <w:rPr>
          <w:rFonts w:hint="default" w:ascii="Arial" w:hAnsi="Arial" w:eastAsia="Times New Roman" w:cs="Arial"/>
          <w:b/>
          <w:bCs w:val="0"/>
          <w:kern w:val="0"/>
          <w:sz w:val="20"/>
          <w:szCs w:val="20"/>
          <w:lang w:eastAsia="zh-CN" w:bidi="ar"/>
        </w:rPr>
        <w:t xml:space="preserve">-3: </w:t>
      </w:r>
      <w:r>
        <w:rPr>
          <w:rFonts w:hint="default" w:ascii="Arial" w:hAnsi="Arial" w:eastAsia="Times New Roman" w:cs="Arial"/>
          <w:b/>
          <w:bCs w:val="0"/>
          <w:kern w:val="0"/>
          <w:sz w:val="20"/>
          <w:szCs w:val="20"/>
          <w:lang w:val="en-US" w:eastAsia="zh-CN" w:bidi="ar"/>
        </w:rPr>
        <w:t xml:space="preserve">Antenna port-to-port isolation </w:t>
      </w:r>
      <w:r>
        <w:rPr>
          <w:rFonts w:hint="eastAsia" w:ascii="Arial" w:hAnsi="Arial" w:eastAsia="Times New Roman" w:cs="Arial"/>
          <w:b/>
          <w:bCs w:val="0"/>
          <w:kern w:val="0"/>
          <w:sz w:val="20"/>
          <w:szCs w:val="20"/>
          <w:lang w:val="en-US" w:eastAsia="zh-CN" w:bidi="ar"/>
        </w:rPr>
        <w:t>[4]</w:t>
      </w:r>
    </w:p>
    <w:tbl>
      <w:tblPr>
        <w:tblStyle w:val="25"/>
        <w:tblW w:w="7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94"/>
        <w:gridCol w:w="794"/>
        <w:gridCol w:w="794"/>
        <w:gridCol w:w="850"/>
        <w:gridCol w:w="851"/>
        <w:gridCol w:w="850"/>
        <w:gridCol w:w="851"/>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78" w:hRule="atLeast"/>
          <w:jc w:val="center"/>
        </w:trPr>
        <w:tc>
          <w:tcPr>
            <w:tcW w:w="7079" w:type="dxa"/>
            <w:gridSpan w:val="8"/>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Isolation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78" w:hRule="atLeast"/>
          <w:jc w:val="center"/>
        </w:trPr>
        <w:tc>
          <w:tcPr>
            <w:tcW w:w="1194"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Own frequency [GHz]</w:t>
            </w:r>
          </w:p>
        </w:tc>
        <w:tc>
          <w:tcPr>
            <w:tcW w:w="5885"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Co-location frequency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69" w:hRule="atLeast"/>
          <w:jc w:val="center"/>
        </w:trPr>
        <w:tc>
          <w:tcPr>
            <w:tcW w:w="119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Autospacing="0"/>
              <w:ind w:left="0" w:right="0"/>
              <w:rPr>
                <w:rFonts w:hint="default" w:ascii="Times New Roman" w:hAnsi="Times New Roman" w:cs="Times New Roman"/>
                <w:sz w:val="20"/>
                <w:szCs w:val="20"/>
              </w:rPr>
            </w:pP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0.45-2</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2-3.5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3.5-6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10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0.45-2</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FF0000"/>
                <w:sz w:val="18"/>
                <w:szCs w:val="18"/>
                <w:lang w:val="en-US"/>
              </w:rPr>
            </w:pPr>
            <w:r>
              <w:rPr>
                <w:rFonts w:hint="default" w:ascii="Arial" w:hAnsi="Arial" w:eastAsia="Times New Roman" w:cs="Arial"/>
                <w:color w:val="FF0000"/>
                <w:kern w:val="0"/>
                <w:sz w:val="18"/>
                <w:szCs w:val="18"/>
                <w:lang w:val="en-US" w:eastAsia="zh-CN" w:bidi="ar"/>
              </w:rPr>
              <w:t>30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2-3.5</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35</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3.5-6</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45</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49</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69</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10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58</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40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90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56</w:t>
            </w:r>
          </w:p>
        </w:tc>
      </w:tr>
    </w:tbl>
    <w:p>
      <w:pPr>
        <w:rPr>
          <w:rFonts w:hint="default"/>
          <w:lang w:val="en-US" w:eastAsia="zh-CN"/>
        </w:rPr>
      </w:pPr>
    </w:p>
    <w:p>
      <w:pPr>
        <w:rPr>
          <w:rFonts w:hint="default"/>
          <w:lang w:val="en-US" w:eastAsia="zh-CN"/>
        </w:rPr>
      </w:pPr>
      <w:r>
        <w:rPr>
          <w:rFonts w:hint="eastAsia"/>
          <w:lang w:val="en-US" w:eastAsia="zh-CN"/>
        </w:rPr>
        <w:t xml:space="preserve">Based on some other measurement results at antenna ports supporting 1427-2690MHz, the minimum coupling loss will be increased e.g. 45-60dBc which is much larger than 30dBc MCL. </w:t>
      </w:r>
    </w:p>
    <w:p>
      <w:pPr>
        <w:tabs>
          <w:tab w:val="left" w:pos="2127"/>
        </w:tabs>
        <w:spacing w:after="0"/>
        <w:jc w:val="center"/>
        <w:rPr>
          <w:rFonts w:hint="default"/>
          <w:lang w:val="en-US" w:eastAsia="zh-CN"/>
        </w:rPr>
      </w:pPr>
      <w:r>
        <w:drawing>
          <wp:inline distT="0" distB="0" distL="114300" distR="114300">
            <wp:extent cx="4774565" cy="3726180"/>
            <wp:effectExtent l="0" t="0" r="698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774565" cy="3726180"/>
                    </a:xfrm>
                    <a:prstGeom prst="rect">
                      <a:avLst/>
                    </a:prstGeom>
                    <a:noFill/>
                    <a:ln>
                      <a:noFill/>
                    </a:ln>
                  </pic:spPr>
                </pic:pic>
              </a:graphicData>
            </a:graphic>
          </wp:inline>
        </w:drawing>
      </w:r>
    </w:p>
    <w:p>
      <w:pPr>
        <w:tabs>
          <w:tab w:val="left" w:pos="2127"/>
        </w:tabs>
        <w:spacing w:after="0"/>
        <w:rPr>
          <w:rFonts w:hint="default"/>
          <w:lang w:val="en-US" w:eastAsia="zh-CN"/>
        </w:rPr>
      </w:pPr>
    </w:p>
    <w:p>
      <w:pPr>
        <w:tabs>
          <w:tab w:val="left" w:pos="2127"/>
        </w:tabs>
        <w:spacing w:after="0"/>
      </w:pPr>
      <w:r>
        <w:drawing>
          <wp:inline distT="0" distB="0" distL="114300" distR="114300">
            <wp:extent cx="6186170" cy="3037840"/>
            <wp:effectExtent l="0" t="0" r="50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6170" cy="3037840"/>
                    </a:xfrm>
                    <a:prstGeom prst="rect">
                      <a:avLst/>
                    </a:prstGeom>
                    <a:noFill/>
                    <a:ln>
                      <a:noFill/>
                    </a:ln>
                  </pic:spPr>
                </pic:pic>
              </a:graphicData>
            </a:graphic>
          </wp:inline>
        </w:drawing>
      </w:r>
    </w:p>
    <w:p>
      <w:pPr>
        <w:rPr>
          <w:rFonts w:hint="eastAsia"/>
          <w:lang w:val="en-US" w:eastAsia="zh-CN"/>
        </w:rPr>
      </w:pPr>
      <w:r>
        <w:rPr>
          <w:rFonts w:hint="eastAsia"/>
          <w:lang w:val="en-US" w:eastAsia="zh-CN"/>
        </w:rPr>
        <w:t xml:space="preserve">In addition, as mentioned in [4], to achieve similar vertical beamwidth between high bands and lower band according to the assumption for </w:t>
      </w:r>
      <w:r>
        <w:rPr>
          <w:rFonts w:hint="default"/>
        </w:rPr>
        <w:t>Out-of-band CLTAs</w:t>
      </w:r>
      <w:r>
        <w:rPr>
          <w:rFonts w:hint="eastAsia"/>
          <w:lang w:val="en-US" w:eastAsia="zh-CN"/>
        </w:rPr>
        <w:t xml:space="preserve">, this will lead to unpractical antenna implementation, whether to remove that restriction on low bands could be also considered. </w:t>
      </w:r>
    </w:p>
    <w:p>
      <w:pPr>
        <w:rPr>
          <w:rFonts w:hint="eastAsia"/>
          <w:lang w:val="en-US" w:eastAsia="zh-CN"/>
        </w:rPr>
      </w:pPr>
      <w:r>
        <w:rPr>
          <w:rFonts w:hint="eastAsia"/>
          <w:b/>
          <w:bCs/>
          <w:lang w:val="en-US" w:eastAsia="zh-CN"/>
        </w:rPr>
        <w:t>Proposal 2</w:t>
      </w:r>
      <w:r>
        <w:rPr>
          <w:rFonts w:hint="eastAsia"/>
          <w:lang w:val="en-US" w:eastAsia="zh-CN"/>
        </w:rPr>
        <w:t xml:space="preserve">: consider whether to removal the restriction of </w:t>
      </w:r>
      <w:r>
        <w:rPr>
          <w:rFonts w:hint="default"/>
        </w:rPr>
        <w:t>Out-of-band CLTAs</w:t>
      </w:r>
      <w:r>
        <w:rPr>
          <w:rFonts w:hint="eastAsia"/>
          <w:lang w:val="en-US" w:eastAsia="zh-CN"/>
        </w:rPr>
        <w:t xml:space="preserve"> if there are FR1 high bands and FR1 low band coexistence scenario. </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co-location reference antenna concept in RAN4 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 1:</w:t>
      </w:r>
      <w:r>
        <w:rPr>
          <w:rFonts w:hint="eastAsia"/>
          <w:lang w:val="en-US" w:eastAsia="zh-CN"/>
        </w:rPr>
        <w:t xml:space="preserve"> at least in FR1 high bands e.g. band 41, n77, n78, n79 and n104, co-location between two AAS BS should be more relevant scenario.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Observation 2</w:t>
      </w:r>
      <w:r>
        <w:rPr>
          <w:rFonts w:hint="eastAsia"/>
          <w:lang w:val="en-US" w:eastAsia="zh-CN"/>
        </w:rPr>
        <w:t xml:space="preserve">: for 2.5-6GHz, Antenna port to port isolation would be increased compared with MCL 30dB.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highlight w:val="none"/>
          <w:lang w:val="en-US" w:eastAsia="zh-CN"/>
        </w:rPr>
        <w:t>Proposal 1</w:t>
      </w:r>
      <w:r>
        <w:rPr>
          <w:rFonts w:hint="eastAsia"/>
          <w:highlight w:val="none"/>
          <w:lang w:val="en-US" w:eastAsia="zh-CN"/>
        </w:rPr>
        <w:t xml:space="preserve">: for FR1 high bands e.g. band </w:t>
      </w:r>
      <w:r>
        <w:rPr>
          <w:rFonts w:hint="eastAsia"/>
          <w:lang w:val="en-US" w:eastAsia="zh-CN"/>
        </w:rPr>
        <w:t xml:space="preserve">41, n77, n78, n79 and n104, to further investigate the co-location scenario between two AAS BS and testing point should focus on TAB connectors. </w:t>
      </w:r>
    </w:p>
    <w:p>
      <w:pPr>
        <w:rPr>
          <w:rFonts w:hint="default"/>
          <w:lang w:val="en-US" w:eastAsia="zh-CN"/>
        </w:rPr>
      </w:pPr>
      <w:r>
        <w:rPr>
          <w:rFonts w:hint="eastAsia"/>
          <w:b/>
          <w:bCs/>
          <w:lang w:val="en-US" w:eastAsia="zh-CN"/>
        </w:rPr>
        <w:t>Proposal 2</w:t>
      </w:r>
      <w:r>
        <w:rPr>
          <w:rFonts w:hint="eastAsia"/>
          <w:lang w:val="en-US" w:eastAsia="zh-CN"/>
        </w:rPr>
        <w:t xml:space="preserve">: consider whether to removal the restriction of </w:t>
      </w:r>
      <w:r>
        <w:rPr>
          <w:rFonts w:hint="default"/>
        </w:rPr>
        <w:t>Out-of-band CLTAs</w:t>
      </w:r>
      <w:r>
        <w:rPr>
          <w:rFonts w:hint="eastAsia"/>
          <w:lang w:val="en-US" w:eastAsia="zh-CN"/>
        </w:rPr>
        <w:t xml:space="preserve"> if there are FR1 high bands and FR1 low band coexistence scenario. </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fldChar w:fldCharType="begin"/>
      </w:r>
      <w:r>
        <w:rPr>
          <w:rFonts w:hint="eastAsia"/>
          <w:sz w:val="20"/>
          <w:szCs w:val="20"/>
        </w:rPr>
        <w:instrText xml:space="preserve"> HYPERLINK "https://www.3gpp.org/ftp/TSG_RAN/WG4_Radio/TSGR4_109/Docs/R4-2319398.zip" \t "https://portal.3gpp.org/ngppapp/_blank" </w:instrText>
      </w:r>
      <w:r>
        <w:rPr>
          <w:rFonts w:hint="eastAsia"/>
          <w:sz w:val="20"/>
          <w:szCs w:val="20"/>
        </w:rPr>
        <w:fldChar w:fldCharType="separate"/>
      </w:r>
      <w:r>
        <w:rPr>
          <w:rFonts w:hint="default"/>
          <w:sz w:val="20"/>
          <w:szCs w:val="20"/>
        </w:rPr>
        <w:t>R4-2319398</w:t>
      </w:r>
      <w:r>
        <w:rPr>
          <w:rFonts w:hint="default"/>
          <w:sz w:val="20"/>
          <w:szCs w:val="20"/>
        </w:rPr>
        <w:fldChar w:fldCharType="end"/>
      </w:r>
      <w:r>
        <w:rPr>
          <w:rFonts w:hint="eastAsia"/>
          <w:sz w:val="20"/>
          <w:szCs w:val="20"/>
          <w:lang w:val="en-US" w:eastAsia="zh-CN"/>
        </w:rPr>
        <w:t xml:space="preserve">, </w:t>
      </w:r>
      <w:r>
        <w:rPr>
          <w:rFonts w:hint="eastAsia"/>
          <w:sz w:val="20"/>
          <w:szCs w:val="20"/>
        </w:rPr>
        <w:t>Background and technical challenges with BS RF co-location requirements in relation to development of NCR RF co-location requirements</w:t>
      </w:r>
      <w:r>
        <w:rPr>
          <w:rFonts w:hint="eastAsia"/>
          <w:sz w:val="20"/>
          <w:szCs w:val="20"/>
          <w:lang w:val="en-US" w:eastAsia="zh-CN"/>
        </w:rPr>
        <w:t>, Ericsson, Noted</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default"/>
          <w:sz w:val="20"/>
          <w:szCs w:val="20"/>
          <w:lang w:val="en-US" w:eastAsia="en-US"/>
        </w:rPr>
        <w:t>R4-1703389, “On BS to BS co-location/co-siting background”, Ericsson</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en-US"/>
        </w:rPr>
        <w:t>R4-1706766</w:t>
      </w:r>
      <w:r>
        <w:rPr>
          <w:rFonts w:hint="eastAsia"/>
          <w:sz w:val="20"/>
          <w:szCs w:val="20"/>
          <w:lang w:val="en-US" w:eastAsia="zh-CN"/>
        </w:rPr>
        <w:t>,</w:t>
      </w:r>
      <w:bookmarkStart w:id="5" w:name="OLE_LINK1"/>
      <w:r>
        <w:rPr>
          <w:rFonts w:hint="eastAsia"/>
          <w:sz w:val="20"/>
          <w:szCs w:val="20"/>
          <w:lang w:val="en-US" w:eastAsia="en-US"/>
        </w:rPr>
        <w:t>Co-location isolation between different frequency bands</w:t>
      </w:r>
      <w:bookmarkEnd w:id="5"/>
      <w:r>
        <w:rPr>
          <w:rFonts w:hint="eastAsia"/>
          <w:sz w:val="20"/>
          <w:szCs w:val="20"/>
          <w:lang w:val="en-US" w:eastAsia="zh-CN"/>
        </w:rPr>
        <w:t>, Ericsson, Noted</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b w:val="0"/>
          <w:sz w:val="20"/>
          <w:szCs w:val="20"/>
        </w:rPr>
        <w:t>R4-2406088</w:t>
      </w:r>
      <w:r>
        <w:rPr>
          <w:rFonts w:hint="eastAsia" w:ascii="Times New Roman" w:hAnsi="Times New Roman"/>
          <w:b w:val="0"/>
          <w:sz w:val="20"/>
          <w:szCs w:val="20"/>
          <w:lang w:val="en-US" w:eastAsia="zh-CN"/>
        </w:rPr>
        <w:t>,</w:t>
      </w:r>
      <w:r>
        <w:rPr>
          <w:rFonts w:hint="eastAsia" w:ascii="Times New Roman" w:hAnsi="Times New Roman"/>
          <w:b w:val="0"/>
          <w:sz w:val="20"/>
          <w:szCs w:val="20"/>
        </w:rPr>
        <w:t>Way Forward for [110bis][311] NR_BS_RF</w:t>
      </w:r>
      <w:r>
        <w:rPr>
          <w:rFonts w:hint="eastAsia" w:ascii="Times New Roman" w:hAnsi="Times New Roman"/>
          <w:b w:val="0"/>
          <w:sz w:val="20"/>
          <w:szCs w:val="20"/>
          <w:lang w:val="en-US" w:eastAsia="zh-CN"/>
        </w:rPr>
        <w:t>, ZTE, approved.</w:t>
      </w:r>
    </w:p>
    <w:p>
      <w:pPr>
        <w:pStyle w:val="55"/>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rPr>
      </w:pPr>
      <w:r>
        <w:rPr>
          <w:rFonts w:hint="default" w:ascii="Times New Roman" w:hAnsi="Times New Roman" w:cs="Times New Roman"/>
          <w:b w:val="0"/>
          <w:sz w:val="20"/>
          <w:szCs w:val="20"/>
          <w:lang w:val="en-US" w:eastAsia="zh-CN"/>
        </w:rPr>
        <w:fldChar w:fldCharType="begin"/>
      </w:r>
      <w:r>
        <w:rPr>
          <w:rFonts w:hint="default" w:ascii="Times New Roman" w:hAnsi="Times New Roman" w:cs="Times New Roman"/>
          <w:b w:val="0"/>
          <w:sz w:val="20"/>
          <w:szCs w:val="20"/>
          <w:lang w:val="en-US" w:eastAsia="zh-CN"/>
        </w:rPr>
        <w:instrText xml:space="preserve"> HYPERLINK "https://www.3gpp.org/ftp/TSG_RAN/WG4_Radio/TSGR4_110bis/Docs/R4-2404259.zip" </w:instrText>
      </w:r>
      <w:r>
        <w:rPr>
          <w:rFonts w:hint="default" w:ascii="Times New Roman" w:hAnsi="Times New Roman" w:cs="Times New Roman"/>
          <w:b w:val="0"/>
          <w:sz w:val="20"/>
          <w:szCs w:val="20"/>
          <w:lang w:val="en-US" w:eastAsia="zh-CN"/>
        </w:rPr>
        <w:fldChar w:fldCharType="separate"/>
      </w:r>
      <w:r>
        <w:rPr>
          <w:rFonts w:hint="default" w:ascii="Times New Roman" w:hAnsi="Times New Roman" w:cs="Times New Roman"/>
          <w:b w:val="0"/>
          <w:sz w:val="20"/>
          <w:szCs w:val="20"/>
        </w:rPr>
        <w:t>R4-2404259</w:t>
      </w:r>
      <w:r>
        <w:rPr>
          <w:rFonts w:hint="default" w:ascii="Times New Roman" w:hAnsi="Times New Roman" w:cs="Times New Roman"/>
          <w:b w:val="0"/>
          <w:sz w:val="20"/>
          <w:szCs w:val="20"/>
          <w:lang w:val="en-US" w:eastAsia="zh-CN"/>
        </w:rPr>
        <w:fldChar w:fldCharType="end"/>
      </w:r>
      <w:r>
        <w:rPr>
          <w:rFonts w:hint="eastAsia" w:ascii="Times New Roman" w:hAnsi="Times New Roman" w:cs="Times New Roman"/>
          <w:b w:val="0"/>
          <w:sz w:val="20"/>
          <w:szCs w:val="20"/>
          <w:lang w:val="en-US" w:eastAsia="zh-CN"/>
        </w:rPr>
        <w:t>,</w:t>
      </w:r>
      <w:r>
        <w:rPr>
          <w:rFonts w:hint="default" w:ascii="Times New Roman" w:hAnsi="Times New Roman" w:cs="Times New Roman"/>
          <w:b w:val="0"/>
          <w:sz w:val="20"/>
          <w:szCs w:val="20"/>
          <w:lang w:val="en-US" w:eastAsia="zh-CN"/>
        </w:rPr>
        <w:t>OTA test enhancements - CLTA</w:t>
      </w:r>
      <w:r>
        <w:rPr>
          <w:rFonts w:hint="eastAsia" w:ascii="Times New Roman" w:hAnsi="Times New Roman" w:cs="Times New Roman"/>
          <w:b w:val="0"/>
          <w:sz w:val="20"/>
          <w:szCs w:val="20"/>
          <w:lang w:val="en-US" w:eastAsia="zh-CN"/>
        </w:rPr>
        <w:t>, Nokia</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09"/>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0"/>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829D4"/>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17DC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940E8"/>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81544"/>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AD331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169EF"/>
    <w:rsid w:val="18020237"/>
    <w:rsid w:val="180A527C"/>
    <w:rsid w:val="18157481"/>
    <w:rsid w:val="181B3A35"/>
    <w:rsid w:val="182267FD"/>
    <w:rsid w:val="18235A20"/>
    <w:rsid w:val="18235E85"/>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9437E"/>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32153"/>
    <w:rsid w:val="1F3B22B0"/>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D3F96"/>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327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37A5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4C29"/>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6865F6"/>
    <w:rsid w:val="296B20A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2952"/>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3255D"/>
    <w:rsid w:val="2D726428"/>
    <w:rsid w:val="2D770975"/>
    <w:rsid w:val="2D7A06F1"/>
    <w:rsid w:val="2D8151A4"/>
    <w:rsid w:val="2D9C1AA5"/>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B4275"/>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A523E"/>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0B5B09"/>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22A48"/>
    <w:rsid w:val="37663E25"/>
    <w:rsid w:val="376B106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77B51"/>
    <w:rsid w:val="3B9A4A30"/>
    <w:rsid w:val="3B9C2663"/>
    <w:rsid w:val="3B9C285E"/>
    <w:rsid w:val="3BA17E84"/>
    <w:rsid w:val="3BA35FC1"/>
    <w:rsid w:val="3BA566FD"/>
    <w:rsid w:val="3BA644F4"/>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376A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F577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03EFC"/>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1493B"/>
    <w:rsid w:val="4E1561BE"/>
    <w:rsid w:val="4E176DF3"/>
    <w:rsid w:val="4E1A2F68"/>
    <w:rsid w:val="4E1E7D0E"/>
    <w:rsid w:val="4E210A5C"/>
    <w:rsid w:val="4E2C6A36"/>
    <w:rsid w:val="4E342F40"/>
    <w:rsid w:val="4E3A2C21"/>
    <w:rsid w:val="4E412A4D"/>
    <w:rsid w:val="4E4475F5"/>
    <w:rsid w:val="4E48450A"/>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561BB"/>
    <w:rsid w:val="4F2C365D"/>
    <w:rsid w:val="4F36758C"/>
    <w:rsid w:val="4F376D93"/>
    <w:rsid w:val="4F3957DF"/>
    <w:rsid w:val="4F3D4163"/>
    <w:rsid w:val="4F50208E"/>
    <w:rsid w:val="4F560A53"/>
    <w:rsid w:val="4F611147"/>
    <w:rsid w:val="4F64562E"/>
    <w:rsid w:val="4F6E6F86"/>
    <w:rsid w:val="4F7278C6"/>
    <w:rsid w:val="4F764CC2"/>
    <w:rsid w:val="4F823D55"/>
    <w:rsid w:val="4F85034E"/>
    <w:rsid w:val="4F9000F4"/>
    <w:rsid w:val="4F983E33"/>
    <w:rsid w:val="4F9B5328"/>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10684"/>
    <w:rsid w:val="5247460D"/>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39CD"/>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70EEF"/>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143B7"/>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F0B71"/>
    <w:rsid w:val="5EC37A1E"/>
    <w:rsid w:val="5EC94A60"/>
    <w:rsid w:val="5ED95EEE"/>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42556"/>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E4951"/>
    <w:rsid w:val="656F1A01"/>
    <w:rsid w:val="6570700F"/>
    <w:rsid w:val="6574303E"/>
    <w:rsid w:val="65755F0A"/>
    <w:rsid w:val="657F0CE6"/>
    <w:rsid w:val="65833C4F"/>
    <w:rsid w:val="658625AD"/>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25A15"/>
    <w:rsid w:val="67834615"/>
    <w:rsid w:val="67836FB1"/>
    <w:rsid w:val="67883798"/>
    <w:rsid w:val="678A12A7"/>
    <w:rsid w:val="678A44B2"/>
    <w:rsid w:val="678C1D52"/>
    <w:rsid w:val="678D19D7"/>
    <w:rsid w:val="67920C02"/>
    <w:rsid w:val="6792321C"/>
    <w:rsid w:val="67934263"/>
    <w:rsid w:val="67941515"/>
    <w:rsid w:val="6794237B"/>
    <w:rsid w:val="67973403"/>
    <w:rsid w:val="67A45590"/>
    <w:rsid w:val="67A67078"/>
    <w:rsid w:val="67A7132F"/>
    <w:rsid w:val="67AC341B"/>
    <w:rsid w:val="67B10069"/>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04FB3"/>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14817"/>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9017D"/>
    <w:rsid w:val="6EBD4DFF"/>
    <w:rsid w:val="6EC23093"/>
    <w:rsid w:val="6EC23231"/>
    <w:rsid w:val="6EC310A5"/>
    <w:rsid w:val="6EC43237"/>
    <w:rsid w:val="6EC566CD"/>
    <w:rsid w:val="6EC73357"/>
    <w:rsid w:val="6EC737C7"/>
    <w:rsid w:val="6ECA2727"/>
    <w:rsid w:val="6ECD2CEA"/>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97F67"/>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9F75F4"/>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BC2F54"/>
    <w:rsid w:val="75C123A7"/>
    <w:rsid w:val="75C1550C"/>
    <w:rsid w:val="75C525B4"/>
    <w:rsid w:val="75CA4550"/>
    <w:rsid w:val="75CC74C8"/>
    <w:rsid w:val="75CD2584"/>
    <w:rsid w:val="75D1230F"/>
    <w:rsid w:val="75D357A7"/>
    <w:rsid w:val="75DA5FC8"/>
    <w:rsid w:val="75DB08A6"/>
    <w:rsid w:val="75DB0F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DA8"/>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803E6"/>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8519E"/>
    <w:rsid w:val="7E1C55F3"/>
    <w:rsid w:val="7E202566"/>
    <w:rsid w:val="7E222965"/>
    <w:rsid w:val="7E293001"/>
    <w:rsid w:val="7E2D6A9A"/>
    <w:rsid w:val="7E2E7D3F"/>
    <w:rsid w:val="7E2F1D57"/>
    <w:rsid w:val="7E327E1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Observation"/>
    <w:basedOn w:val="110"/>
    <w:qFormat/>
    <w:uiPriority w:val="0"/>
    <w:pPr>
      <w:numPr>
        <w:ilvl w:val="0"/>
        <w:numId w:val="2"/>
      </w:numPr>
      <w:jc w:val="left"/>
    </w:pPr>
    <w:rPr>
      <w:bCs w:val="0"/>
      <w:i/>
      <w:kern w:val="24"/>
    </w:rPr>
  </w:style>
  <w:style w:type="paragraph" w:customStyle="1" w:styleId="110">
    <w:name w:val="Proposal"/>
    <w:basedOn w:val="15"/>
    <w:next w:val="111"/>
    <w:qFormat/>
    <w:uiPriority w:val="0"/>
    <w:pPr>
      <w:numPr>
        <w:ilvl w:val="0"/>
        <w:numId w:val="3"/>
      </w:numPr>
      <w:spacing w:before="240"/>
      <w:jc w:val="both"/>
    </w:pPr>
    <w:rPr>
      <w:b/>
      <w:bCs/>
      <w:lang w:val="en-US"/>
    </w:rPr>
  </w:style>
  <w:style w:type="paragraph" w:customStyle="1" w:styleId="111">
    <w:name w:val="00 BodyText"/>
    <w:basedOn w:val="1"/>
    <w:qFormat/>
    <w:uiPriority w:val="0"/>
    <w:pPr>
      <w:overflowPunct/>
      <w:autoSpaceDE/>
      <w:autoSpaceDN/>
      <w:adjustRightInd/>
      <w:spacing w:after="220"/>
      <w:textAlignment w:val="auto"/>
    </w:pPr>
    <w:rPr>
      <w:rFonts w:ascii="Arial" w:hAnsi="Arial"/>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2024-05-13T15:08:42Z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